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3"/>
        <w:keepNext w:val="0"/>
        <w:keepLines w:val="0"/>
        <w:widowControl/>
        <w:suppressLineNumbers w:val="0"/>
        <w:jc w:val="center"/>
      </w:pPr>
      <w:bookmarkStart w:id="67" w:name="_GoBack"/>
      <w:bookmarkEnd w:id="67"/>
      <w:r>
        <w:rPr>
          <w:lang w:val="ru"/>
        </w:rPr>
        <w:t> </w:t>
      </w:r>
    </w:p>
    <w:p>
      <w:pPr>
        <w:pStyle w:val="33"/>
        <w:keepNext w:val="0"/>
        <w:keepLines w:val="0"/>
        <w:widowControl/>
        <w:suppressLineNumbers w:val="0"/>
        <w:jc w:val="center"/>
      </w:pPr>
      <w:bookmarkStart w:id="0" w:name="a8"/>
      <w:bookmarkEnd w:id="0"/>
      <w:r>
        <w:rPr>
          <w:rStyle w:val="9"/>
          <w:lang w:val="ru"/>
        </w:rPr>
        <w:t>ДЕКРЕТ </w:t>
      </w:r>
      <w:r>
        <w:rPr>
          <w:rStyle w:val="11"/>
          <w:lang w:val="ru"/>
        </w:rPr>
        <w:t>ПРЕЗИДЕНТА РЕСПУБЛИКИ БЕЛАРУСЬ</w:t>
      </w:r>
    </w:p>
    <w:p>
      <w:pPr>
        <w:pStyle w:val="32"/>
        <w:keepNext w:val="0"/>
        <w:keepLines w:val="0"/>
        <w:widowControl/>
        <w:suppressLineNumbers w:val="0"/>
        <w:ind w:left="0" w:firstLine="0"/>
        <w:jc w:val="center"/>
      </w:pPr>
      <w:r>
        <w:rPr>
          <w:rStyle w:val="12"/>
          <w:lang w:val="ru"/>
        </w:rPr>
        <w:t>15 декабря 2014 г.</w:t>
      </w:r>
      <w:r>
        <w:rPr>
          <w:rStyle w:val="7"/>
          <w:lang w:val="ru"/>
        </w:rPr>
        <w:t xml:space="preserve"> № 5</w:t>
      </w:r>
    </w:p>
    <w:p>
      <w:pPr>
        <w:pStyle w:val="6"/>
        <w:widowControl/>
      </w:pPr>
      <w:r>
        <w:rPr>
          <w:color w:val="000080"/>
          <w:lang w:val="ru"/>
        </w:rPr>
        <w:t>Об усилении требований к руководящим кадрам и работникам организаций</w:t>
      </w:r>
    </w:p>
    <w:p>
      <w:pPr>
        <w:pStyle w:val="31"/>
        <w:keepNext w:val="0"/>
        <w:keepLines w:val="0"/>
        <w:widowControl/>
        <w:suppressLineNumbers w:val="0"/>
      </w:pPr>
      <w:r>
        <w:rPr>
          <w:lang w:val="ru"/>
        </w:rPr>
        <w:t>Изменения и дополнения:</w:t>
      </w:r>
    </w:p>
    <w:p>
      <w:pPr>
        <w:pStyle w:val="30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"tx.dll?d=426997&amp;a=1"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Декрет</w:t>
      </w:r>
      <w:r>
        <w:rPr>
          <w:lang w:val="ru"/>
        </w:rPr>
        <w:fldChar w:fldCharType="end"/>
      </w:r>
      <w:r>
        <w:rPr>
          <w:lang w:val="ru"/>
        </w:rPr>
        <w:t xml:space="preserve"> Президента Республики Беларусь от 9 апреля 2020 г. № 1 (Национальный правовой Интернет-портал Республики Беларусь, 11.04.2020, 1/18944);</w:t>
      </w:r>
    </w:p>
    <w:p>
      <w:pPr>
        <w:pStyle w:val="30"/>
        <w:keepNext w:val="0"/>
        <w:keepLines w:val="0"/>
        <w:widowControl/>
        <w:suppressLineNumbers w:val="0"/>
      </w:pPr>
      <w:r>
        <w:rPr>
          <w:lang w:val="ru"/>
        </w:rPr>
        <w:fldChar w:fldCharType="begin"/>
      </w:r>
      <w:r>
        <w:rPr>
          <w:lang w:val="ru"/>
        </w:rPr>
        <w:instrText xml:space="preserve"> HYPERLINK "tx.dll?d=467084&amp;a=1" \l "a1" \o "-"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Декрет</w:t>
      </w:r>
      <w:r>
        <w:rPr>
          <w:lang w:val="ru"/>
        </w:rPr>
        <w:fldChar w:fldCharType="end"/>
      </w:r>
      <w:r>
        <w:rPr>
          <w:lang w:val="ru"/>
        </w:rPr>
        <w:t xml:space="preserve"> Президента Республики Беларусь от 12 октября 2021 г. № 6 (Национальный правовой Интернет-портал Республики Беларусь, 13.10.2021, 1/19940)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p>
      <w:pPr>
        <w:pStyle w:val="29"/>
        <w:keepNext w:val="0"/>
        <w:keepLines w:val="0"/>
        <w:widowControl/>
        <w:suppressLineNumbers w:val="0"/>
      </w:pPr>
      <w:r>
        <w:rPr>
          <w:lang w:val="ru"/>
        </w:rPr>
        <w:t xml:space="preserve">В целях повышения эффективности хозяйствования, обеспечения надлежащих условий труда в организациях государственной и частной форм собственности, повышения качества продукции (работ, услуг), совершенствования работы по подбору и расстановке руководящих кадров и в соответствии с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"tx.dll?d=32170&amp;a=3735" \l "a3735"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частью третьей</w:t>
      </w:r>
      <w:r>
        <w:rPr>
          <w:lang w:val="ru"/>
        </w:rPr>
        <w:fldChar w:fldCharType="end"/>
      </w:r>
      <w:r>
        <w:rPr>
          <w:lang w:val="ru"/>
        </w:rPr>
        <w:t xml:space="preserve"> статьи 101 Конституции Республики Беларусь </w:t>
      </w:r>
      <w:r>
        <w:rPr>
          <w:rStyle w:val="17"/>
          <w:lang w:val="ru"/>
        </w:rPr>
        <w:t>постановляю:</w:t>
      </w:r>
    </w:p>
    <w:p>
      <w:pPr>
        <w:pStyle w:val="27"/>
        <w:keepNext w:val="0"/>
        <w:keepLines w:val="0"/>
        <w:widowControl/>
        <w:suppressLineNumbers w:val="0"/>
      </w:pPr>
      <w:bookmarkStart w:id="1" w:name="a3"/>
      <w:bookmarkEnd w:id="1"/>
      <w:r>
        <w:rPr>
          <w:lang w:val="ru"/>
        </w:rPr>
        <w:t>1. Считать обеспечение производственно-технологической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*</w:t>
      </w:r>
      <w:r>
        <w:rPr>
          <w:lang w:val="ru"/>
        </w:rPr>
        <w:fldChar w:fldCharType="end"/>
      </w:r>
      <w:r>
        <w:rPr>
          <w:lang w:val="ru"/>
        </w:rPr>
        <w:t>, исполнительской и трудовой дисциплины, содержания производственных зданий (помещений), оборудования и приспособлений в соответствии с установленными требованиями, надлежащих условий труда работников одними из основных критериев оценки работы руководителей организаций государственной и частной форм собственности (далее – руководители организаций).</w:t>
      </w:r>
    </w:p>
    <w:p>
      <w:pPr>
        <w:pStyle w:val="23"/>
        <w:keepNext w:val="0"/>
        <w:keepLines w:val="0"/>
        <w:widowControl/>
        <w:suppressLineNumbers w:val="0"/>
      </w:pPr>
      <w:r>
        <w:rPr>
          <w:lang w:val="ru"/>
        </w:rPr>
        <w:t>______________________________</w:t>
      </w:r>
    </w:p>
    <w:p>
      <w:pPr>
        <w:pStyle w:val="22"/>
        <w:keepNext w:val="0"/>
        <w:keepLines w:val="0"/>
        <w:widowControl/>
        <w:suppressLineNumbers w:val="0"/>
        <w:spacing w:after="240" w:afterAutospacing="0"/>
      </w:pPr>
      <w:bookmarkStart w:id="2" w:name="a1"/>
      <w:bookmarkEnd w:id="2"/>
      <w:r>
        <w:rPr>
          <w:lang w:val="ru"/>
        </w:rPr>
        <w:t>* Для целей настоящего Декрета под производственно-технологической дисциплиной понимается соблюдение установленных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также обеспечение требований по рациональному использованию сырья, материальных и человеческих ресурсов.</w:t>
      </w:r>
    </w:p>
    <w:p>
      <w:pPr>
        <w:pStyle w:val="27"/>
        <w:keepNext w:val="0"/>
        <w:keepLines w:val="0"/>
        <w:widowControl/>
        <w:suppressLineNumbers w:val="0"/>
      </w:pPr>
      <w:bookmarkStart w:id="3" w:name="a52"/>
      <w:bookmarkEnd w:id="3"/>
      <w:r>
        <w:rPr>
          <w:lang w:val="ru"/>
        </w:rPr>
        <w:t xml:space="preserve">2. Определить, что при аттестации руководителей организаций или при продлении либо заключении с ними контрактов на новый срок лица, уполномоченные на принятие соответствующих решений, обязаны проводить оценку соблюдения руководителем организации критериев, определенных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"a3"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пункте 1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Декрета, и учитывать их при принятии кадровых решений. При этом оценка соблюдения названных критериев оформляется документально и хранится в личном деле руководителя организации.</w:t>
      </w:r>
    </w:p>
    <w:p>
      <w:pPr>
        <w:pStyle w:val="27"/>
        <w:keepNext w:val="0"/>
        <w:keepLines w:val="0"/>
        <w:widowControl/>
        <w:suppressLineNumbers w:val="0"/>
      </w:pPr>
      <w:bookmarkStart w:id="4" w:name="a10"/>
      <w:bookmarkEnd w:id="4"/>
      <w:r>
        <w:rPr>
          <w:lang w:val="ru"/>
        </w:rPr>
        <w:t>3. Предоставить руководителям организаций право:</w:t>
      </w:r>
    </w:p>
    <w:p>
      <w:pPr>
        <w:pStyle w:val="28"/>
        <w:keepNext w:val="0"/>
        <w:keepLines w:val="0"/>
        <w:widowControl/>
        <w:suppressLineNumbers w:val="0"/>
      </w:pPr>
      <w:bookmarkStart w:id="5" w:name="a42"/>
      <w:bookmarkEnd w:id="5"/>
      <w:r>
        <w:rPr>
          <w:lang w:val="ru"/>
        </w:rPr>
        <w:t>3.1. устанавливать в соответствии с законодательством, локальными нормативными правовыми актами, а также решением собственника имущества организации или уполномоченного им органа работникам, не допускающим нарушений производственно-технологической, исполнительской и трудовой дисциплины, дополнительные выплаты стимулирующего характера без ограничения их размера за счет прибыли, средств от приносящей доходы деятельности, остающихся в распоряжении организаций после уплаты обязательных платежей в бюджет;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3.2. исключен;</w:t>
      </w:r>
    </w:p>
    <w:p>
      <w:pPr>
        <w:pStyle w:val="28"/>
        <w:keepNext w:val="0"/>
        <w:keepLines w:val="0"/>
        <w:widowControl/>
        <w:suppressLineNumbers w:val="0"/>
      </w:pPr>
      <w:bookmarkStart w:id="6" w:name="a12"/>
      <w:bookmarkEnd w:id="6"/>
      <w:r>
        <w:rPr>
          <w:lang w:val="ru"/>
        </w:rPr>
        <w:t>3.3. применять к работникам, нарушившим производственно-технологическую, исполнительскую или трудовую дисциплину, в качестве меры дисциплинарного взыскания лишение полностью или частично дополнительных выплат стимулирующего характера на срок до 12 месяцев;</w:t>
      </w:r>
    </w:p>
    <w:p>
      <w:pPr>
        <w:pStyle w:val="28"/>
        <w:keepNext w:val="0"/>
        <w:keepLines w:val="0"/>
        <w:widowControl/>
        <w:suppressLineNumbers w:val="0"/>
      </w:pPr>
      <w:bookmarkStart w:id="7" w:name="a66"/>
      <w:bookmarkEnd w:id="7"/>
      <w:r>
        <w:rPr>
          <w:lang w:val="ru"/>
        </w:rPr>
        <w:t>3.4. незамедлительно отстранять работника от работы при выявлении допущенных им нарушений производственно-технологической, исполнительской или трудовой дисциплины, повлекших или способных повлечь причинение организации ущерба, до устранения нарушений, а также в случае, если работник призывает других работников к прекращению выполнения трудовых обязанностей без уважительных причин;</w:t>
      </w:r>
    </w:p>
    <w:p>
      <w:pPr>
        <w:pStyle w:val="28"/>
        <w:keepNext w:val="0"/>
        <w:keepLines w:val="0"/>
        <w:widowControl/>
        <w:suppressLineNumbers w:val="0"/>
      </w:pPr>
      <w:bookmarkStart w:id="8" w:name="a14"/>
      <w:bookmarkEnd w:id="8"/>
      <w:r>
        <w:rPr>
          <w:lang w:val="ru"/>
        </w:rPr>
        <w:t xml:space="preserve">3.5. расторгать трудовой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"tx.dll?d=24465&amp;a=46" \l "a46"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договор</w:t>
      </w:r>
      <w:r>
        <w:rPr>
          <w:lang w:val="ru"/>
        </w:rPr>
        <w:fldChar w:fldCharType="end"/>
      </w:r>
      <w:r>
        <w:rPr>
          <w:lang w:val="ru"/>
        </w:rPr>
        <w:t xml:space="preserve"> (контракт) с работником, допустившим нарушение производственно-технологической, исполнительской или трудовой дисциплины, повлекшее причинение организации ущерба в размере, превышающем три начисленные среднемесячные заработные платы работников Республики Беларусь. При этом указанное действие (бездействие) работника признается грубым нарушением трудовых обязанностей, а увольнение по данному основанию производится с одновременным уведомлением (в день увольнения) соответствующего профсоюза;</w:t>
      </w:r>
    </w:p>
    <w:p>
      <w:pPr>
        <w:pStyle w:val="28"/>
        <w:keepNext w:val="0"/>
        <w:keepLines w:val="0"/>
        <w:widowControl/>
        <w:suppressLineNumbers w:val="0"/>
      </w:pPr>
      <w:bookmarkStart w:id="9" w:name="a15"/>
      <w:bookmarkEnd w:id="9"/>
      <w:r>
        <w:rPr>
          <w:lang w:val="ru"/>
        </w:rPr>
        <w:t>3.6. удерживать из заработной платы работника по распоряжению нанимателя ущерб, причиненный нанимателю по вине работника, в размере до трех его среднемесячных заработных плат. При этом при каждой выплате заработной платы размер такого удержания (при взыскании сумм, в том числе по исполнительным документам, общий размер всех удержаний) не может превышать 50 процентов заработной платы, причитающейся к выплате работнику, если возможность большего размера удержания (общего размера всех удержаний) не установлена законодательными актами.</w:t>
      </w:r>
    </w:p>
    <w:p>
      <w:pPr>
        <w:pStyle w:val="27"/>
        <w:keepNext w:val="0"/>
        <w:keepLines w:val="0"/>
        <w:widowControl/>
        <w:suppressLineNumbers w:val="0"/>
      </w:pPr>
      <w:bookmarkStart w:id="10" w:name="a16"/>
      <w:bookmarkEnd w:id="10"/>
      <w:r>
        <w:rPr>
          <w:lang w:val="ru"/>
        </w:rPr>
        <w:t>4. Установить, что:</w:t>
      </w:r>
    </w:p>
    <w:p>
      <w:pPr>
        <w:pStyle w:val="28"/>
        <w:keepNext w:val="0"/>
        <w:keepLines w:val="0"/>
        <w:widowControl/>
        <w:suppressLineNumbers w:val="0"/>
      </w:pPr>
      <w:bookmarkStart w:id="11" w:name="a45"/>
      <w:bookmarkEnd w:id="11"/>
      <w:r>
        <w:rPr>
          <w:lang w:val="ru"/>
        </w:rPr>
        <w:t>4.1. руководители организаций под свою персональную ответственность обязаны обеспечить:</w:t>
      </w:r>
    </w:p>
    <w:p>
      <w:pPr>
        <w:pStyle w:val="32"/>
        <w:keepNext w:val="0"/>
        <w:keepLines w:val="0"/>
        <w:widowControl/>
        <w:suppressLineNumbers w:val="0"/>
      </w:pPr>
      <w:bookmarkStart w:id="12" w:name="a4"/>
      <w:bookmarkEnd w:id="12"/>
      <w:r>
        <w:rPr>
          <w:lang w:val="ru"/>
        </w:rPr>
        <w:t>производственно-технологическую, исполнительскую и трудовую дисциплину;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содержание производственных зданий (помещений), оборудования и приспособлений в соответствии с установленными требованиями;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надлежащие условия труда работников;</w:t>
      </w:r>
    </w:p>
    <w:p>
      <w:pPr>
        <w:pStyle w:val="32"/>
        <w:keepNext w:val="0"/>
        <w:keepLines w:val="0"/>
        <w:widowControl/>
        <w:suppressLineNumbers w:val="0"/>
      </w:pPr>
      <w:bookmarkStart w:id="13" w:name="a57"/>
      <w:bookmarkEnd w:id="13"/>
      <w:r>
        <w:rPr>
          <w:lang w:val="ru"/>
        </w:rPr>
        <w:t>закрепление в должностных (рабочих) инструкциях работников с учетом специфики их трудовых функций обязанности по соблюдению технологических регламентов и нормативов при производстве продукции (выполнении работ, оказании услуг), требований производственного процесса, технологии изготовления продукции (работ, услуг), а также по поддержанию чистоты и порядка на территории организации и непосредственно на рабочем месте работника;</w:t>
      </w:r>
    </w:p>
    <w:p>
      <w:pPr>
        <w:pStyle w:val="28"/>
        <w:keepNext w:val="0"/>
        <w:keepLines w:val="0"/>
        <w:widowControl/>
        <w:suppressLineNumbers w:val="0"/>
      </w:pPr>
      <w:bookmarkStart w:id="14" w:name="a46"/>
      <w:bookmarkEnd w:id="14"/>
      <w:r>
        <w:rPr>
          <w:lang w:val="ru"/>
        </w:rPr>
        <w:t>4.2. грубым нарушением трудовых обязанностей, влекущим безусловное привлечение руководителя организации к дисциплинарной ответственности вплоть до увольнения с занимаемой должности, признаются: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 xml:space="preserve">необеспечение выполнения им требований, предусмотренных в абзацах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"a4"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втором–четвертом</w:t>
      </w:r>
      <w:r>
        <w:rPr>
          <w:lang w:val="ru"/>
        </w:rPr>
        <w:fldChar w:fldCharType="end"/>
      </w:r>
      <w:r>
        <w:rPr>
          <w:lang w:val="ru"/>
        </w:rPr>
        <w:t xml:space="preserve"> подпункта 4.1 настоящего пункта;</w:t>
      </w:r>
    </w:p>
    <w:p>
      <w:pPr>
        <w:pStyle w:val="32"/>
        <w:keepNext w:val="0"/>
        <w:keepLines w:val="0"/>
        <w:widowControl/>
        <w:suppressLineNumbers w:val="0"/>
      </w:pPr>
      <w:bookmarkStart w:id="15" w:name="a56"/>
      <w:bookmarkEnd w:id="15"/>
      <w:r>
        <w:rPr>
          <w:lang w:val="ru"/>
        </w:rPr>
        <w:t>сокрытие (подмена) основания увольнения работника при наличии основания для его увольнения за совершение виновных действий;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иные противоправные действия (бездействие) руководителя организации, установленные законодательными актами.</w:t>
      </w:r>
    </w:p>
    <w:p>
      <w:pPr>
        <w:pStyle w:val="27"/>
        <w:keepNext w:val="0"/>
        <w:keepLines w:val="0"/>
        <w:widowControl/>
        <w:suppressLineNumbers w:val="0"/>
      </w:pPr>
      <w:bookmarkStart w:id="16" w:name="a47"/>
      <w:bookmarkEnd w:id="16"/>
      <w:r>
        <w:rPr>
          <w:lang w:val="ru"/>
        </w:rPr>
        <w:t>5. Меры дисциплинарной ответственности, установленные настоящим Декретом и иными законодательными актами, могут применяться к работникам, совершившим дисциплинарный проступок, правомочными органами (руководителями) самостоятельно или по письменному требованию:</w:t>
      </w:r>
    </w:p>
    <w:p>
      <w:pPr>
        <w:pStyle w:val="28"/>
        <w:keepNext w:val="0"/>
        <w:keepLines w:val="0"/>
        <w:widowControl/>
        <w:suppressLineNumbers w:val="0"/>
      </w:pPr>
      <w:bookmarkStart w:id="17" w:name="a54"/>
      <w:bookmarkEnd w:id="17"/>
      <w:r>
        <w:rPr>
          <w:lang w:val="ru"/>
        </w:rPr>
        <w:t>5.1. государственного органа (организации) – в отношении работников органов и организаций, подчиненных или входящих в состав (систему) этого государственного органа (организации);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5.2. облисполкома или Минского горисполкома – в отношении работников организаций государственной и частной форм собственности, расположенных на территории соответствующей административно-территориальной единицы;</w:t>
      </w:r>
    </w:p>
    <w:p>
      <w:pPr>
        <w:pStyle w:val="28"/>
        <w:keepNext w:val="0"/>
        <w:keepLines w:val="0"/>
        <w:widowControl/>
        <w:suppressLineNumbers w:val="0"/>
      </w:pPr>
      <w:r>
        <w:rPr>
          <w:lang w:val="ru"/>
        </w:rPr>
        <w:t>5.3. иного уполномоченного в соответствии с законодательством на проведение проверок государственного органа (организации).</w:t>
      </w:r>
    </w:p>
    <w:p>
      <w:pPr>
        <w:pStyle w:val="27"/>
        <w:keepNext w:val="0"/>
        <w:keepLines w:val="0"/>
        <w:widowControl/>
        <w:suppressLineNumbers w:val="0"/>
      </w:pPr>
      <w:bookmarkStart w:id="18" w:name="a9"/>
      <w:bookmarkEnd w:id="18"/>
      <w:r>
        <w:rPr>
          <w:lang w:val="ru"/>
        </w:rPr>
        <w:t xml:space="preserve">6. Трудовые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"tx.dll?d=24465&amp;a=46" \l "a46"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договоры</w:t>
      </w:r>
      <w:r>
        <w:rPr>
          <w:lang w:val="ru"/>
        </w:rPr>
        <w:fldChar w:fldCharType="end"/>
      </w:r>
      <w:r>
        <w:rPr>
          <w:lang w:val="ru"/>
        </w:rPr>
        <w:t xml:space="preserve"> (контракты) до истечения срока их действия могут быть расторгнуты нанимателем по следующим основаниям, признаваемым дискредитирующими обстоятельствами увольнения (далее – дискредитирующие обстоятельства):</w:t>
      </w:r>
    </w:p>
    <w:p>
      <w:pPr>
        <w:pStyle w:val="33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8600" cy="228600"/>
                  <wp:effectExtent l="0" t="0" r="0" b="0"/>
                  <wp:docPr id="2" name="Изображение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color="909090" w:sz="8" w:space="0"/>
              <w:bottom w:val="nil"/>
              <w:right w:val="nil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33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bdr w:val="none" w:color="auto" w:sz="0" w:space="0"/>
              </w:rPr>
              <w:t>От редакции «Бизнес-Инфо»</w:t>
            </w:r>
          </w:p>
          <w:p>
            <w:pPr>
              <w:pStyle w:val="33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>Обязанное лицо не может быть уволено с работы до полного возмещения расходов по содержанию детей, за исключением случаев, предусмотренных в пп.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"tx.dll?d=33380&amp;a=9325" \l "a9325"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1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 (кроме сокращения численности или штата работников),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"tx.dll?d=33380&amp;a=9320" \l "a9320"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3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,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"tx.dll?d=33380&amp;a=9440" \l "a9440"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абз.5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 п.7 ст.42, пп.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"tx.dll?d=33380&amp;a=8912" \l "a8912"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1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, 2,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"tx.dll?d=33380&amp;a=7074" \l "a7074"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5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>, 6 ст.44 и пп.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"tx.dll?d=33380&amp;a=2367" \l "a2367"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2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,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"tx.dll?d=33380&amp;a=10016" \l "a10016"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4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 ст.47 Трудового кодекса Республики Беларусь и в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"tx.dll?d=91682&amp;a=55" \l "a55"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части пятнадцатой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 п.14 Декрета Президента Республики Беларусь от 24.11.2006 № 18 (см.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"tx.dll?d=91682&amp;a=60" \l "a60"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часть тринадцатую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 xml:space="preserve"> п.14 названного Декрета).</w:t>
            </w:r>
          </w:p>
        </w:tc>
      </w:tr>
    </w:tbl>
    <w:p>
      <w:pPr>
        <w:pStyle w:val="33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p>
      <w:pPr>
        <w:pStyle w:val="28"/>
        <w:keepNext w:val="0"/>
        <w:keepLines w:val="0"/>
        <w:widowControl/>
        <w:suppressLineNumbers w:val="0"/>
      </w:pPr>
      <w:bookmarkStart w:id="19" w:name="a17"/>
      <w:bookmarkEnd w:id="19"/>
      <w:r>
        <w:rPr>
          <w:lang w:val="ru"/>
        </w:rPr>
        <w:t>6.1. неисполнение без уважительных причин трудовых обязанностей работником, имеющим неснятое (непогашенное) дисциплинарное взыскание;</w:t>
      </w:r>
    </w:p>
    <w:p>
      <w:pPr>
        <w:pStyle w:val="28"/>
        <w:keepNext w:val="0"/>
        <w:keepLines w:val="0"/>
        <w:widowControl/>
        <w:suppressLineNumbers w:val="0"/>
      </w:pPr>
      <w:bookmarkStart w:id="20" w:name="a18"/>
      <w:bookmarkEnd w:id="20"/>
      <w:r>
        <w:rPr>
          <w:lang w:val="ru"/>
        </w:rPr>
        <w:t>6.2. однократное грубое нарушение работником своих трудовых обязанностей:</w:t>
      </w:r>
    </w:p>
    <w:p>
      <w:pPr>
        <w:pStyle w:val="32"/>
        <w:keepNext w:val="0"/>
        <w:keepLines w:val="0"/>
        <w:widowControl/>
        <w:suppressLineNumbers w:val="0"/>
      </w:pPr>
      <w:bookmarkStart w:id="21" w:name="a50"/>
      <w:bookmarkEnd w:id="21"/>
      <w:r>
        <w:rPr>
          <w:lang w:val="ru"/>
        </w:rPr>
        <w:t>прогул (в том числе отсутствие на работе более трех часов в течение рабочего дня) без уважительных причин;</w:t>
      </w:r>
    </w:p>
    <w:p>
      <w:pPr>
        <w:pStyle w:val="32"/>
        <w:keepNext w:val="0"/>
        <w:keepLines w:val="0"/>
        <w:widowControl/>
        <w:suppressLineNumbers w:val="0"/>
      </w:pPr>
      <w:bookmarkStart w:id="22" w:name="a58"/>
      <w:bookmarkEnd w:id="22"/>
      <w:r>
        <w:rPr>
          <w:lang w:val="ru"/>
        </w:rPr>
        <w:t>появление на работе в состоянии алкогольного, наркотического или токсического опьянения, а также распитие спиртных напитков, употребление наркотических средств, психотропных веществ, их аналогов, токсических веществ в рабочее время или по месту работы;</w:t>
      </w:r>
    </w:p>
    <w:p>
      <w:pPr>
        <w:pStyle w:val="32"/>
        <w:keepNext w:val="0"/>
        <w:keepLines w:val="0"/>
        <w:widowControl/>
        <w:suppressLineNumbers w:val="0"/>
      </w:pPr>
      <w:bookmarkStart w:id="23" w:name="a60"/>
      <w:bookmarkEnd w:id="23"/>
      <w:r>
        <w:rPr>
          <w:lang w:val="ru"/>
        </w:rPr>
        <w:t>совершение по месту работы хищения имущества нанимателя, установленного вступившим в законную силу приговором суда или постановлением органа, в компетенцию которого входит наложение административного взыскания;</w:t>
      </w:r>
    </w:p>
    <w:p>
      <w:pPr>
        <w:pStyle w:val="32"/>
        <w:keepNext w:val="0"/>
        <w:keepLines w:val="0"/>
        <w:widowControl/>
        <w:suppressLineNumbers w:val="0"/>
      </w:pPr>
      <w:bookmarkStart w:id="24" w:name="a55"/>
      <w:bookmarkEnd w:id="24"/>
      <w:r>
        <w:rPr>
          <w:lang w:val="ru"/>
        </w:rPr>
        <w:t>нарушение требований по охране труда, повлекшее увечье или смерть других работников;</w:t>
      </w:r>
    </w:p>
    <w:p>
      <w:pPr>
        <w:pStyle w:val="32"/>
        <w:keepNext w:val="0"/>
        <w:keepLines w:val="0"/>
        <w:widowControl/>
        <w:suppressLineNumbers w:val="0"/>
      </w:pPr>
      <w:bookmarkStart w:id="25" w:name="a44"/>
      <w:bookmarkEnd w:id="25"/>
      <w:r>
        <w:rPr>
          <w:lang w:val="ru"/>
        </w:rPr>
        <w:t>иное грубое нарушение работником трудовых обязанностей, признаваемое таковым в соответствии с настоящим Декретом и иными законодательными актами;</w:t>
      </w:r>
    </w:p>
    <w:p>
      <w:pPr>
        <w:pStyle w:val="28"/>
        <w:keepNext w:val="0"/>
        <w:keepLines w:val="0"/>
        <w:widowControl/>
        <w:suppressLineNumbers w:val="0"/>
      </w:pPr>
      <w:bookmarkStart w:id="26" w:name="a19"/>
      <w:bookmarkEnd w:id="26"/>
      <w:r>
        <w:rPr>
          <w:lang w:val="ru"/>
        </w:rPr>
        <w:t>6.3. вступление в законную силу приговора суда, которым работник осужден к наказанию, исключающему продолжение работы, или судебного постановления о трудоустройстве работника, обязанного возмещать расходы, затраченные государством на содержание детей, находящихся на государственном обеспечении;</w:t>
      </w:r>
    </w:p>
    <w:p>
      <w:pPr>
        <w:pStyle w:val="28"/>
        <w:keepNext w:val="0"/>
        <w:keepLines w:val="0"/>
        <w:widowControl/>
        <w:suppressLineNumbers w:val="0"/>
      </w:pPr>
      <w:bookmarkStart w:id="27" w:name="a20"/>
      <w:bookmarkEnd w:id="27"/>
      <w:r>
        <w:rPr>
          <w:lang w:val="ru"/>
        </w:rPr>
        <w:t>6.4. совершение виновных действий работником, непосредственно обслуживающим денежные и материальные ценности, если эти действия являются основанием для утраты доверия к нему со стороны нанимателя;</w:t>
      </w:r>
    </w:p>
    <w:p>
      <w:pPr>
        <w:pStyle w:val="28"/>
        <w:keepNext w:val="0"/>
        <w:keepLines w:val="0"/>
        <w:widowControl/>
        <w:suppressLineNumbers w:val="0"/>
      </w:pPr>
      <w:bookmarkStart w:id="28" w:name="a21"/>
      <w:bookmarkEnd w:id="28"/>
      <w:r>
        <w:rPr>
          <w:lang w:val="ru"/>
        </w:rPr>
        <w:t>6.5. совершение работником, выполняющим воспитательные функции, аморального проступка, несовместимого с продолжением данной работы;</w:t>
      </w:r>
    </w:p>
    <w:p>
      <w:pPr>
        <w:pStyle w:val="28"/>
        <w:keepNext w:val="0"/>
        <w:keepLines w:val="0"/>
        <w:widowControl/>
        <w:suppressLineNumbers w:val="0"/>
      </w:pPr>
      <w:bookmarkStart w:id="29" w:name="a22"/>
      <w:bookmarkEnd w:id="29"/>
      <w:r>
        <w:rPr>
          <w:lang w:val="ru"/>
        </w:rPr>
        <w:t>6.6. направление работника по постановлению суда в лечебно-трудовой профилакторий;</w:t>
      </w:r>
    </w:p>
    <w:p>
      <w:pPr>
        <w:pStyle w:val="28"/>
        <w:keepNext w:val="0"/>
        <w:keepLines w:val="0"/>
        <w:widowControl/>
        <w:suppressLineNumbers w:val="0"/>
      </w:pPr>
      <w:bookmarkStart w:id="30" w:name="a23"/>
      <w:bookmarkEnd w:id="30"/>
      <w:r>
        <w:rPr>
          <w:lang w:val="ru"/>
        </w:rPr>
        <w:t>6.7. разглашение коммерческой тайны работником, имеющим к ней доступ;</w:t>
      </w:r>
    </w:p>
    <w:p>
      <w:pPr>
        <w:pStyle w:val="28"/>
        <w:keepNext w:val="0"/>
        <w:keepLines w:val="0"/>
        <w:widowControl/>
        <w:suppressLineNumbers w:val="0"/>
      </w:pPr>
      <w:bookmarkStart w:id="31" w:name="a24"/>
      <w:bookmarkEnd w:id="31"/>
      <w:r>
        <w:rPr>
          <w:lang w:val="ru"/>
        </w:rPr>
        <w:t>6.8. причинение в связи с исполнением трудовых обязанностей государству, юридическим и (или) физическим лицам имущественного ущерба, установленного вступившим в законную силу решением суда;</w:t>
      </w:r>
    </w:p>
    <w:p>
      <w:pPr>
        <w:pStyle w:val="28"/>
        <w:keepNext w:val="0"/>
        <w:keepLines w:val="0"/>
        <w:widowControl/>
        <w:suppressLineNumbers w:val="0"/>
      </w:pPr>
      <w:bookmarkStart w:id="32" w:name="a25"/>
      <w:bookmarkEnd w:id="32"/>
      <w:r>
        <w:rPr>
          <w:lang w:val="ru"/>
        </w:rPr>
        <w:t>6.9. сокрытие руководителем организации фактов нарушения работниками трудовых обязанностей либо непривлечение без уважительных причин виновных лиц к установленной законодательством ответственности за такие нарушения;</w:t>
      </w:r>
    </w:p>
    <w:p>
      <w:pPr>
        <w:pStyle w:val="28"/>
        <w:keepNext w:val="0"/>
        <w:keepLines w:val="0"/>
        <w:widowControl/>
        <w:suppressLineNumbers w:val="0"/>
      </w:pPr>
      <w:bookmarkStart w:id="33" w:name="a26"/>
      <w:bookmarkEnd w:id="33"/>
      <w:r>
        <w:rPr>
          <w:lang w:val="ru"/>
        </w:rPr>
        <w:t>6.10. нарушение руководителем организации без уважительных причин порядка и сроков выплаты заработной платы и (или) пособий;</w:t>
      </w:r>
    </w:p>
    <w:p>
      <w:pPr>
        <w:pStyle w:val="28"/>
        <w:keepNext w:val="0"/>
        <w:keepLines w:val="0"/>
        <w:widowControl/>
        <w:suppressLineNumbers w:val="0"/>
      </w:pPr>
      <w:bookmarkStart w:id="34" w:name="a27"/>
      <w:bookmarkEnd w:id="34"/>
      <w:r>
        <w:rPr>
          <w:lang w:val="ru"/>
        </w:rPr>
        <w:t>6.11. неоднократное (два раза и более в течение шести месяцев) нарушение установленного законодательством порядка рассмотрения обращений граждан и юридических лиц, а также неправомерный отказ в рассмотрении относящихся к компетенции соответствующего государственного органа обращений граждан и юридических лиц;</w:t>
      </w:r>
    </w:p>
    <w:p>
      <w:pPr>
        <w:pStyle w:val="28"/>
        <w:keepNext w:val="0"/>
        <w:keepLines w:val="0"/>
        <w:widowControl/>
        <w:suppressLineNumbers w:val="0"/>
      </w:pPr>
      <w:bookmarkStart w:id="35" w:name="a28"/>
      <w:bookmarkEnd w:id="35"/>
      <w:r>
        <w:rPr>
          <w:lang w:val="ru"/>
        </w:rPr>
        <w:t>6.12. незаконное привлечение к ответственности граждан и юридических лиц;</w:t>
      </w:r>
    </w:p>
    <w:p>
      <w:pPr>
        <w:pStyle w:val="28"/>
        <w:keepNext w:val="0"/>
        <w:keepLines w:val="0"/>
        <w:widowControl/>
        <w:suppressLineNumbers w:val="0"/>
      </w:pPr>
      <w:bookmarkStart w:id="36" w:name="a29"/>
      <w:bookmarkEnd w:id="36"/>
      <w:r>
        <w:rPr>
          <w:lang w:val="ru"/>
        </w:rPr>
        <w:t>6.13. неоднократное (два раза и более в течение шести месяцев) представление в уполномоченные органы неполных либо недостоверных сведений;</w:t>
      </w:r>
    </w:p>
    <w:p>
      <w:pPr>
        <w:pStyle w:val="28"/>
        <w:keepNext w:val="0"/>
        <w:keepLines w:val="0"/>
        <w:widowControl/>
        <w:suppressLineNumbers w:val="0"/>
      </w:pPr>
      <w:bookmarkStart w:id="37" w:name="a30"/>
      <w:bookmarkEnd w:id="37"/>
      <w:r>
        <w:rPr>
          <w:lang w:val="ru"/>
        </w:rPr>
        <w:t>6.14. неисполнение, ненадлежащее или несвоевременное исполнение должностным лицом выраженного в установленной законодательством форме требования должностного лица, осуществляющего государственный контроль и (или) надзор, предписания органа государственной безопасности, представления органа государственной охраны либо непринятие мер к устранению указанных в них нарушений;</w:t>
      </w:r>
    </w:p>
    <w:p>
      <w:pPr>
        <w:pStyle w:val="28"/>
        <w:keepNext w:val="0"/>
        <w:keepLines w:val="0"/>
        <w:widowControl/>
        <w:suppressLineNumbers w:val="0"/>
      </w:pPr>
      <w:bookmarkStart w:id="38" w:name="a65"/>
      <w:bookmarkEnd w:id="38"/>
      <w:r>
        <w:rPr>
          <w:lang w:val="ru"/>
        </w:rPr>
        <w:t>6.14</w:t>
      </w:r>
      <w:r>
        <w:rPr>
          <w:vertAlign w:val="superscript"/>
          <w:lang w:val="ru"/>
        </w:rPr>
        <w:t>1</w:t>
      </w:r>
      <w:r>
        <w:rPr>
          <w:lang w:val="ru"/>
        </w:rPr>
        <w:t>. нарушение работником порядка сбора, систематизации, хранения, изменения, использования, обезличивания, блокирования, распространения, предоставления, удаления персональных данных;</w:t>
      </w:r>
    </w:p>
    <w:p>
      <w:pPr>
        <w:pStyle w:val="28"/>
        <w:keepNext w:val="0"/>
        <w:keepLines w:val="0"/>
        <w:widowControl/>
        <w:suppressLineNumbers w:val="0"/>
      </w:pPr>
      <w:bookmarkStart w:id="39" w:name="a31"/>
      <w:bookmarkEnd w:id="39"/>
      <w:r>
        <w:rPr>
          <w:lang w:val="ru"/>
        </w:rPr>
        <w:t>6.15. нарушение работником, являющимся государственным должностным лицом, письменного обязательства по соблюдению ограничений, предусмотренных законодательством о борьбе с коррупцией;</w:t>
      </w:r>
    </w:p>
    <w:p>
      <w:pPr>
        <w:pStyle w:val="28"/>
        <w:keepNext w:val="0"/>
        <w:keepLines w:val="0"/>
        <w:widowControl/>
        <w:suppressLineNumbers w:val="0"/>
      </w:pPr>
      <w:bookmarkStart w:id="40" w:name="a32"/>
      <w:bookmarkEnd w:id="40"/>
      <w:r>
        <w:rPr>
          <w:lang w:val="ru"/>
        </w:rPr>
        <w:t>6.16. несоблюдение ограничений, связанных с государственной службой;</w:t>
      </w:r>
    </w:p>
    <w:p>
      <w:pPr>
        <w:pStyle w:val="28"/>
        <w:keepNext w:val="0"/>
        <w:keepLines w:val="0"/>
        <w:widowControl/>
        <w:suppressLineNumbers w:val="0"/>
      </w:pPr>
      <w:bookmarkStart w:id="41" w:name="a33"/>
      <w:bookmarkEnd w:id="41"/>
      <w:r>
        <w:rPr>
          <w:lang w:val="ru"/>
        </w:rPr>
        <w:t>6.17. разглашение государственным служащим сведений, составляющих государственные секреты;</w:t>
      </w:r>
    </w:p>
    <w:p>
      <w:pPr>
        <w:pStyle w:val="28"/>
        <w:keepNext w:val="0"/>
        <w:keepLines w:val="0"/>
        <w:widowControl/>
        <w:suppressLineNumbers w:val="0"/>
      </w:pPr>
      <w:bookmarkStart w:id="42" w:name="a34"/>
      <w:bookmarkEnd w:id="42"/>
      <w:r>
        <w:rPr>
          <w:lang w:val="ru"/>
        </w:rPr>
        <w:t>6.18. грубое нарушение государственным служащим должностных обязанностей;</w:t>
      </w:r>
    </w:p>
    <w:p>
      <w:pPr>
        <w:pStyle w:val="28"/>
        <w:keepNext w:val="0"/>
        <w:keepLines w:val="0"/>
        <w:widowControl/>
        <w:suppressLineNumbers w:val="0"/>
      </w:pPr>
      <w:bookmarkStart w:id="43" w:name="a35"/>
      <w:bookmarkEnd w:id="43"/>
      <w:r>
        <w:rPr>
          <w:lang w:val="ru"/>
        </w:rPr>
        <w:t>6.19. совершение проступка, несовместимого с нахождением на государственной службе;</w:t>
      </w:r>
    </w:p>
    <w:p>
      <w:pPr>
        <w:pStyle w:val="28"/>
        <w:keepNext w:val="0"/>
        <w:keepLines w:val="0"/>
        <w:widowControl/>
        <w:suppressLineNumbers w:val="0"/>
      </w:pPr>
      <w:bookmarkStart w:id="44" w:name="a36"/>
      <w:bookmarkEnd w:id="44"/>
      <w:r>
        <w:rPr>
          <w:lang w:val="ru"/>
        </w:rPr>
        <w:t>6.20. лишение судом государственного служащего права занимать государственную должность в течение определенного времени;</w:t>
      </w:r>
    </w:p>
    <w:p>
      <w:pPr>
        <w:pStyle w:val="28"/>
        <w:keepNext w:val="0"/>
        <w:keepLines w:val="0"/>
        <w:widowControl/>
        <w:suppressLineNumbers w:val="0"/>
      </w:pPr>
      <w:bookmarkStart w:id="45" w:name="a38"/>
      <w:bookmarkEnd w:id="45"/>
      <w:r>
        <w:rPr>
          <w:lang w:val="ru"/>
        </w:rPr>
        <w:t>6.21. представление государственным служащим заведомо недостоверных сведений, необходимых для занятия государственной должности;</w:t>
      </w:r>
    </w:p>
    <w:p>
      <w:pPr>
        <w:pStyle w:val="28"/>
        <w:keepNext w:val="0"/>
        <w:keepLines w:val="0"/>
        <w:widowControl/>
        <w:suppressLineNumbers w:val="0"/>
      </w:pPr>
      <w:bookmarkStart w:id="46" w:name="a39"/>
      <w:bookmarkEnd w:id="46"/>
      <w:r>
        <w:rPr>
          <w:lang w:val="ru"/>
        </w:rPr>
        <w:t xml:space="preserve">6.22. непредставление государственным служащим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"tx.dll?d=314537&amp;a=160" \l "a160"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декларации</w:t>
      </w:r>
      <w:r>
        <w:rPr>
          <w:lang w:val="ru"/>
        </w:rPr>
        <w:fldChar w:fldCharType="end"/>
      </w:r>
      <w:r>
        <w:rPr>
          <w:lang w:val="ru"/>
        </w:rPr>
        <w:t xml:space="preserve"> о доходах и имуществе или умышленное внесение в декларацию о доходах и имуществе неполных либо недостоверных сведений;</w:t>
      </w:r>
    </w:p>
    <w:p>
      <w:pPr>
        <w:pStyle w:val="28"/>
        <w:keepNext w:val="0"/>
        <w:keepLines w:val="0"/>
        <w:widowControl/>
        <w:suppressLineNumbers w:val="0"/>
      </w:pPr>
      <w:bookmarkStart w:id="47" w:name="a37"/>
      <w:bookmarkEnd w:id="47"/>
      <w:r>
        <w:rPr>
          <w:lang w:val="ru"/>
        </w:rPr>
        <w:t>6.23. наличие у государственного служащего непогашенной или неснятой судимости;</w:t>
      </w:r>
    </w:p>
    <w:p>
      <w:pPr>
        <w:pStyle w:val="28"/>
        <w:keepNext w:val="0"/>
        <w:keepLines w:val="0"/>
        <w:widowControl/>
        <w:suppressLineNumbers w:val="0"/>
      </w:pPr>
      <w:bookmarkStart w:id="48" w:name="a40"/>
      <w:bookmarkEnd w:id="48"/>
      <w:r>
        <w:rPr>
          <w:lang w:val="ru"/>
        </w:rPr>
        <w:t>6.24. виновные деяния, которые в соответствии с законодательными актами о прохождении военной службы, службы в органах внутренних дел, Следственном комитете, Государственном комитете судебных экспертиз, органах и подразделениях по чрезвычайным ситуациям и органах финансовых расследований Комитета государственного контроля явились основанием для увольнения с военной службы (службы).</w:t>
      </w:r>
    </w:p>
    <w:p>
      <w:pPr>
        <w:pStyle w:val="27"/>
        <w:keepNext w:val="0"/>
        <w:keepLines w:val="0"/>
        <w:widowControl/>
        <w:suppressLineNumbers w:val="0"/>
      </w:pPr>
      <w:bookmarkStart w:id="49" w:name="a43"/>
      <w:bookmarkEnd w:id="49"/>
      <w:r>
        <w:rPr>
          <w:lang w:val="ru"/>
        </w:rPr>
        <w:t>7. До увольнения работника по дискредитирующим обстоятельствам наниматель обязан провести проверку допущенных им нарушений, результаты которой оформить актом (служебной запиской), а также затребовать письменное объяснение работника. При этом указанные акты (служебные записки) и объяснения подлежат хранению в организации не менее пяти лет.</w:t>
      </w:r>
    </w:p>
    <w:p>
      <w:pPr>
        <w:pStyle w:val="27"/>
        <w:keepNext w:val="0"/>
        <w:keepLines w:val="0"/>
        <w:widowControl/>
        <w:suppressLineNumbers w:val="0"/>
      </w:pPr>
      <w:bookmarkStart w:id="50" w:name="a5"/>
      <w:bookmarkEnd w:id="50"/>
      <w:r>
        <w:rPr>
          <w:lang w:val="ru"/>
        </w:rPr>
        <w:t xml:space="preserve">8. Не допускается назначение на должности, включенные в кадровые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"tx.dll?d=110569&amp;a=1"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реестры</w:t>
      </w:r>
      <w:r>
        <w:rPr>
          <w:lang w:val="ru"/>
        </w:rPr>
        <w:fldChar w:fldCharType="end"/>
      </w:r>
      <w:r>
        <w:rPr>
          <w:lang w:val="ru"/>
        </w:rPr>
        <w:t xml:space="preserve"> Главы государства Республики Беларусь, Совета Министров Республики Беларусь, облисполкомов и Минского горисполкома, райисполкомов, горисполкомов (городов областного подчинения), местных администраций районов в городах, лиц, уволенных по дискредитирующим обстоятельствам, в течение пяти лет после такого увольнения, если иное не установлено Президентом Республики Беларусь.</w:t>
      </w:r>
    </w:p>
    <w:p>
      <w:pPr>
        <w:pStyle w:val="32"/>
        <w:keepNext w:val="0"/>
        <w:keepLines w:val="0"/>
        <w:widowControl/>
        <w:suppressLineNumbers w:val="0"/>
      </w:pPr>
      <w:bookmarkStart w:id="51" w:name="a64"/>
      <w:bookmarkEnd w:id="51"/>
      <w:r>
        <w:rPr>
          <w:lang w:val="ru"/>
        </w:rPr>
        <w:t>Администрация Президента Республики Беларусь, Совет Министров Республики Беларусь, облисполкомы и Минский горисполком, райисполкомы, горисполкомы (городов областного подчинения), местные администрации районов в городах осуществляют мониторинг трудоустройства лиц, освобожденных по дискредитирующим обстоятельствам от должностей, включенных в кадровые реестры, указанные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в течение пяти лет после такого увольнения.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Государственные органы, указанные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"a64"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второй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вправе запрашивать от государственных органов, иных организаций независимо от формы собственности сведения, необходимые для осуществления мониторинга трудоустройства лиц, уволенных по дискредитирующим обстоятельствам, которые представляются на безвозмездной основе в течение трех рабочих дней со дня получения соответствующего запроса.</w:t>
      </w:r>
    </w:p>
    <w:p>
      <w:pPr>
        <w:pStyle w:val="27"/>
        <w:keepNext w:val="0"/>
        <w:keepLines w:val="0"/>
        <w:widowControl/>
        <w:suppressLineNumbers w:val="0"/>
      </w:pPr>
      <w:bookmarkStart w:id="52" w:name="a62"/>
      <w:bookmarkEnd w:id="52"/>
      <w:r>
        <w:rPr>
          <w:lang w:val="ru"/>
        </w:rPr>
        <w:t>9. Назначение лиц, уволенных по дискредитирующим обстоятельствам, на руководящие должности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"a2"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*</w:t>
      </w:r>
      <w:r>
        <w:rPr>
          <w:lang w:val="ru"/>
        </w:rPr>
        <w:fldChar w:fldCharType="end"/>
      </w:r>
      <w:r>
        <w:rPr>
          <w:lang w:val="ru"/>
        </w:rPr>
        <w:t xml:space="preserve"> в организации государственной и частной форм собственности в течение пяти лет после такого увольнения, кроме предусмотренных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пункта 8 настоящего Декрета, осуществляется при условии согласования этого назначения с председателем районного, городского (города областного подчинения) исполкома, главой администрации района г. Минска (города областного подчинения) (далее – председатель исполкома), на территории которого расположена данная организация либо ее соответствующее структурное подразделение,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"tx.dll?d=295953&amp;a=1" \l "a1"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порядке</w:t>
      </w:r>
      <w:r>
        <w:rPr>
          <w:lang w:val="ru"/>
        </w:rPr>
        <w:fldChar w:fldCharType="end"/>
      </w:r>
      <w:r>
        <w:rPr>
          <w:lang w:val="ru"/>
        </w:rPr>
        <w:t>, предусмотренном Советом Министров Республики Беларусь.</w:t>
      </w:r>
    </w:p>
    <w:p>
      <w:pPr>
        <w:pStyle w:val="23"/>
        <w:keepNext w:val="0"/>
        <w:keepLines w:val="0"/>
        <w:widowControl/>
        <w:suppressLineNumbers w:val="0"/>
      </w:pPr>
      <w:r>
        <w:rPr>
          <w:lang w:val="ru"/>
        </w:rPr>
        <w:t>______________________________</w:t>
      </w:r>
    </w:p>
    <w:p>
      <w:pPr>
        <w:pStyle w:val="22"/>
        <w:keepNext w:val="0"/>
        <w:keepLines w:val="0"/>
        <w:widowControl/>
        <w:suppressLineNumbers w:val="0"/>
        <w:spacing w:after="240" w:afterAutospacing="0"/>
      </w:pPr>
      <w:bookmarkStart w:id="53" w:name="a2"/>
      <w:bookmarkEnd w:id="53"/>
      <w:r>
        <w:rPr>
          <w:lang w:val="ru"/>
        </w:rPr>
        <w:t>* Для целей настоящего Декрета под руководящей должностью понимается должность руководителя либо заместителя руководителя организации, иного работника, осуществляющего организационно-распорядительные (руководящие, организующие, направляющие, координирующие и контролирующие) функции применительно к организации, ее структурным подразделениям, работникам и направлениям деятельности.</w:t>
      </w:r>
    </w:p>
    <w:p>
      <w:pPr>
        <w:pStyle w:val="32"/>
        <w:keepNext w:val="0"/>
        <w:keepLines w:val="0"/>
        <w:widowControl/>
        <w:suppressLineNumbers w:val="0"/>
      </w:pPr>
      <w:bookmarkStart w:id="54" w:name="a67"/>
      <w:bookmarkEnd w:id="54"/>
      <w:r>
        <w:rPr>
          <w:lang w:val="ru"/>
        </w:rPr>
        <w:t xml:space="preserve">Согласование назначения осуществляется на основании мотивированного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"tx.dll?d=295953&amp;a=4" \l "a4"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ходатайства</w:t>
      </w:r>
      <w:r>
        <w:rPr>
          <w:lang w:val="ru"/>
        </w:rPr>
        <w:fldChar w:fldCharType="end"/>
      </w:r>
      <w:r>
        <w:rPr>
          <w:lang w:val="ru"/>
        </w:rPr>
        <w:t xml:space="preserve"> организации и прилагаемых к нему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характеристик</w:t>
      </w:r>
      <w:r>
        <w:rPr>
          <w:lang w:val="ru"/>
        </w:rPr>
        <w:fldChar w:fldCharType="end"/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"a71"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*</w:t>
      </w:r>
      <w:r>
        <w:rPr>
          <w:lang w:val="ru"/>
        </w:rPr>
        <w:fldChar w:fldCharType="end"/>
      </w:r>
      <w:r>
        <w:rPr>
          <w:lang w:val="ru"/>
        </w:rPr>
        <w:t xml:space="preserve"> с предыдущих мест работы за последние пять лет.</w:t>
      </w:r>
    </w:p>
    <w:p>
      <w:pPr>
        <w:pStyle w:val="23"/>
        <w:keepNext w:val="0"/>
        <w:keepLines w:val="0"/>
        <w:widowControl/>
        <w:suppressLineNumbers w:val="0"/>
      </w:pPr>
      <w:r>
        <w:rPr>
          <w:lang w:val="ru"/>
        </w:rPr>
        <w:t>______________________________</w:t>
      </w:r>
    </w:p>
    <w:p>
      <w:pPr>
        <w:pStyle w:val="22"/>
        <w:keepNext w:val="0"/>
        <w:keepLines w:val="0"/>
        <w:widowControl/>
        <w:suppressLineNumbers w:val="0"/>
        <w:spacing w:after="240" w:afterAutospacing="0"/>
      </w:pPr>
      <w:bookmarkStart w:id="55" w:name="a71"/>
      <w:bookmarkEnd w:id="55"/>
      <w:r>
        <w:rPr>
          <w:lang w:val="ru"/>
        </w:rPr>
        <w:t>* Для целей настоящего Декрета под характеристикой понимается официальный документ, отражающий профессиональные, деловые и моральные качества работника, сведения о привлечении к дисциплинарной и иной ответственности, отношение к государственным и общественным институтам, иную информацию, подготовленный по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форме</w:t>
      </w:r>
      <w:r>
        <w:rPr>
          <w:lang w:val="ru"/>
        </w:rPr>
        <w:fldChar w:fldCharType="end"/>
      </w:r>
      <w:r>
        <w:rPr>
          <w:lang w:val="ru"/>
        </w:rPr>
        <w:t>, установленной Советом Министров Республики Беларусь.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 xml:space="preserve">Согласование назначения (отказ в согласовании) осуществляется в течение пяти рабочих дней со дня представления в местный исполнительный и распорядительный орган документов, указанных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"a67"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второй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пункта.</w:t>
      </w:r>
    </w:p>
    <w:p>
      <w:pPr>
        <w:pStyle w:val="32"/>
        <w:keepNext w:val="0"/>
        <w:keepLines w:val="0"/>
        <w:widowControl/>
        <w:suppressLineNumbers w:val="0"/>
      </w:pPr>
      <w:bookmarkStart w:id="56" w:name="a48"/>
      <w:bookmarkEnd w:id="56"/>
      <w:r>
        <w:rPr>
          <w:lang w:val="ru"/>
        </w:rPr>
        <w:t>Отказ председателя исполкома в согласовании назначения лица, уволенного по дискредитирующим обстоятельствам, на руководящую должность может быть в трехмесячный срок обжалован в Администрацию Президента Республики Беларусь.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Президентом Республики Беларусь в отдельных случаях может определяться иной порядок назначения на руководящие должности.</w:t>
      </w:r>
    </w:p>
    <w:p>
      <w:pPr>
        <w:pStyle w:val="33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0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28600" cy="228600"/>
                  <wp:effectExtent l="0" t="0" r="0" b="0"/>
                  <wp:docPr id="1" name="Изображение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single" w:color="909090" w:sz="8" w:space="0"/>
              <w:bottom w:val="nil"/>
              <w:right w:val="nil"/>
            </w:tcBorders>
            <w:shd w:val="clear"/>
            <w:tcMar>
              <w:left w:w="60" w:type="dxa"/>
            </w:tcMar>
            <w:vAlign w:val="center"/>
          </w:tcPr>
          <w:p>
            <w:pPr>
              <w:pStyle w:val="33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bdr w:val="none" w:color="auto" w:sz="0" w:space="0"/>
              </w:rPr>
              <w:t>От редакции «Бизнес-Инфо»</w:t>
            </w:r>
          </w:p>
          <w:p>
            <w:pPr>
              <w:pStyle w:val="33"/>
              <w:keepNext w:val="0"/>
              <w:keepLines w:val="0"/>
              <w:widowControl/>
              <w:suppressLineNumbers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bdr w:val="none" w:color="auto" w:sz="0" w:space="0"/>
              </w:rPr>
              <w:t xml:space="preserve">Порядок подбора и назначения на должности (освобождения от должностей) руководящих кадров в системе государственных органов и иных государственных организаций установлен в </w:t>
            </w:r>
            <w:r>
              <w:rPr>
                <w:sz w:val="22"/>
                <w:szCs w:val="22"/>
                <w:bdr w:val="none" w:color="auto" w:sz="0" w:space="0"/>
              </w:rPr>
              <w:fldChar w:fldCharType="begin"/>
            </w:r>
            <w:r>
              <w:rPr>
                <w:sz w:val="22"/>
                <w:szCs w:val="22"/>
                <w:bdr w:val="none" w:color="auto" w:sz="0" w:space="0"/>
              </w:rPr>
              <w:instrText xml:space="preserve"> HYPERLINK "tx.dll?d=72652&amp;a=1" \l "a1" \o "+" </w:instrText>
            </w:r>
            <w:r>
              <w:rPr>
                <w:sz w:val="22"/>
                <w:szCs w:val="22"/>
                <w:bdr w:val="none" w:color="auto" w:sz="0" w:space="0"/>
              </w:rPr>
              <w:fldChar w:fldCharType="separate"/>
            </w:r>
            <w:r>
              <w:rPr>
                <w:rStyle w:val="5"/>
                <w:sz w:val="22"/>
                <w:szCs w:val="22"/>
                <w:bdr w:val="none" w:color="auto" w:sz="0" w:space="0"/>
              </w:rPr>
              <w:t>Положении</w:t>
            </w:r>
            <w:r>
              <w:rPr>
                <w:sz w:val="22"/>
                <w:szCs w:val="22"/>
                <w:bdr w:val="none" w:color="auto" w:sz="0" w:space="0"/>
              </w:rPr>
              <w:fldChar w:fldCharType="end"/>
            </w:r>
            <w:r>
              <w:rPr>
                <w:sz w:val="22"/>
                <w:szCs w:val="22"/>
                <w:bdr w:val="none" w:color="auto" w:sz="0" w:space="0"/>
              </w:rPr>
              <w:t>, утвержденном Указом Президента Республики Беларусь от 26.07.2004 № 354.</w:t>
            </w:r>
          </w:p>
        </w:tc>
      </w:tr>
    </w:tbl>
    <w:p>
      <w:pPr>
        <w:pStyle w:val="33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p>
      <w:pPr>
        <w:pStyle w:val="27"/>
        <w:keepNext w:val="0"/>
        <w:keepLines w:val="0"/>
        <w:widowControl/>
        <w:suppressLineNumbers w:val="0"/>
      </w:pPr>
      <w:bookmarkStart w:id="57" w:name="a61"/>
      <w:bookmarkEnd w:id="57"/>
      <w:r>
        <w:rPr>
          <w:lang w:val="ru"/>
        </w:rPr>
        <w:t xml:space="preserve">10. Назначение лица на должность с нарушением требований, предусмотренных в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"a5"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пункта 8 и частях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"a62"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первой</w:t>
      </w:r>
      <w:r>
        <w:rPr>
          <w:lang w:val="ru"/>
        </w:rPr>
        <w:fldChar w:fldCharType="end"/>
      </w:r>
      <w:r>
        <w:rPr>
          <w:lang w:val="ru"/>
        </w:rPr>
        <w:t xml:space="preserve"> и второй пункта 9 настоящего Декрета, является основанием для увольнения этого лица в связи с нарушением установленных правил приема на работу.</w:t>
      </w:r>
    </w:p>
    <w:p>
      <w:pPr>
        <w:pStyle w:val="27"/>
        <w:keepNext w:val="0"/>
        <w:keepLines w:val="0"/>
        <w:widowControl/>
        <w:suppressLineNumbers w:val="0"/>
      </w:pPr>
      <w:bookmarkStart w:id="58" w:name="a68"/>
      <w:bookmarkEnd w:id="58"/>
      <w:r>
        <w:rPr>
          <w:lang w:val="ru"/>
        </w:rPr>
        <w:t xml:space="preserve">11. Наниматели вправе при приеме на работу работника запрашивать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характеристику</w:t>
      </w:r>
      <w:r>
        <w:rPr>
          <w:lang w:val="ru"/>
        </w:rPr>
        <w:fldChar w:fldCharType="end"/>
      </w:r>
      <w:r>
        <w:rPr>
          <w:lang w:val="ru"/>
        </w:rPr>
        <w:t xml:space="preserve"> с предыдущих мест его работы, которая выдается в течение семи календарных дней со дня получения соответствующего запроса.</w:t>
      </w:r>
    </w:p>
    <w:p>
      <w:pPr>
        <w:pStyle w:val="32"/>
        <w:keepNext w:val="0"/>
        <w:keepLines w:val="0"/>
        <w:widowControl/>
        <w:suppressLineNumbers w:val="0"/>
      </w:pPr>
      <w:bookmarkStart w:id="59" w:name="a69"/>
      <w:bookmarkEnd w:id="59"/>
      <w:r>
        <w:rPr>
          <w:lang w:val="ru"/>
        </w:rPr>
        <w:t>При приеме на работу работника в государственные органы, иные государственные организации, а также организации, более 50 процентов акций (долей в уставном фонде) которых находится в государственной собственности (далее – государственная организация), наниматели обязаны, если иное не установлено законодательными актами, запрашивать:</w:t>
      </w:r>
    </w:p>
    <w:p>
      <w:pPr>
        <w:pStyle w:val="32"/>
        <w:keepNext w:val="0"/>
        <w:keepLines w:val="0"/>
        <w:widowControl/>
        <w:suppressLineNumbers w:val="0"/>
      </w:pPr>
      <w:bookmarkStart w:id="60" w:name="a74"/>
      <w:bookmarkEnd w:id="60"/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характеристику</w:t>
      </w:r>
      <w:r>
        <w:rPr>
          <w:lang w:val="ru"/>
        </w:rPr>
        <w:fldChar w:fldCharType="end"/>
      </w:r>
      <w:r>
        <w:rPr>
          <w:lang w:val="ru"/>
        </w:rPr>
        <w:t xml:space="preserve"> с предыдущего места его работы;</w:t>
      </w:r>
    </w:p>
    <w:p>
      <w:pPr>
        <w:pStyle w:val="32"/>
        <w:keepNext w:val="0"/>
        <w:keepLines w:val="0"/>
        <w:widowControl/>
        <w:suppressLineNumbers w:val="0"/>
      </w:pPr>
      <w:bookmarkStart w:id="61" w:name="a72"/>
      <w:bookmarkEnd w:id="61"/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характеристику</w:t>
      </w:r>
      <w:r>
        <w:rPr>
          <w:lang w:val="ru"/>
        </w:rPr>
        <w:fldChar w:fldCharType="end"/>
      </w:r>
      <w:r>
        <w:rPr>
          <w:lang w:val="ru"/>
        </w:rPr>
        <w:t xml:space="preserve"> из государственной организации, являвшейся местом его работы в течение предшествующих пяти лет. В случае, если таким местом работы являлось несколько государственных организаций, характеристика запрашивается по последнему из них;</w:t>
      </w:r>
    </w:p>
    <w:p>
      <w:pPr>
        <w:pStyle w:val="32"/>
        <w:keepNext w:val="0"/>
        <w:keepLines w:val="0"/>
        <w:widowControl/>
        <w:suppressLineNumbers w:val="0"/>
      </w:pPr>
      <w:bookmarkStart w:id="62" w:name="a75"/>
      <w:bookmarkEnd w:id="62"/>
      <w:r>
        <w:rPr>
          <w:lang w:val="ru"/>
        </w:rPr>
        <w:t>сведения из единого государственного банка данных о правонарушениях в отношении кандидатов на руководящие должности. Такие сведения предоставляются бесплатно.</w:t>
      </w:r>
    </w:p>
    <w:p>
      <w:pPr>
        <w:pStyle w:val="27"/>
        <w:keepNext w:val="0"/>
        <w:keepLines w:val="0"/>
        <w:widowControl/>
        <w:suppressLineNumbers w:val="0"/>
      </w:pPr>
      <w:bookmarkStart w:id="63" w:name="a70"/>
      <w:bookmarkEnd w:id="63"/>
      <w:r>
        <w:rPr>
          <w:lang w:val="ru"/>
        </w:rPr>
        <w:t xml:space="preserve">12. Нарушение предусмотренного настоящим Декретом порядка приема на работу, назначения на должность, выдача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"tx.dll?d=467588&amp;a=7" \l "a7"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характеристик</w:t>
      </w:r>
      <w:r>
        <w:rPr>
          <w:lang w:val="ru"/>
        </w:rPr>
        <w:fldChar w:fldCharType="end"/>
      </w:r>
      <w:r>
        <w:rPr>
          <w:lang w:val="ru"/>
        </w:rPr>
        <w:t>, содержащих заведомо недостоверную информацию, а также нарушение сроков их выдачи признается грубым нарушением трудовых обязанностей.</w:t>
      </w:r>
    </w:p>
    <w:p>
      <w:pPr>
        <w:pStyle w:val="32"/>
        <w:keepNext w:val="0"/>
        <w:keepLines w:val="0"/>
        <w:widowControl/>
        <w:suppressLineNumbers w:val="0"/>
      </w:pPr>
      <w:bookmarkStart w:id="64" w:name="a73"/>
      <w:bookmarkEnd w:id="64"/>
      <w:r>
        <w:rPr>
          <w:lang w:val="ru"/>
        </w:rPr>
        <w:t>Виновные деяния должностных лиц, указанные в 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"" \l "a70"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части первой</w:t>
      </w:r>
      <w:r>
        <w:rPr>
          <w:lang w:val="ru"/>
        </w:rPr>
        <w:fldChar w:fldCharType="end"/>
      </w:r>
      <w:r>
        <w:rPr>
          <w:lang w:val="ru"/>
        </w:rPr>
        <w:t xml:space="preserve"> настоящего пункта, повлекшие причинение ущерба государственной собственности либо существенного вреда государственным или общественным интересам, при наличии оснований влекут ответственность в соответствии с Уголовным </w:t>
      </w:r>
      <w:r>
        <w:rPr>
          <w:lang w:val="ru"/>
        </w:rPr>
        <w:fldChar w:fldCharType="begin"/>
      </w:r>
      <w:r>
        <w:rPr>
          <w:lang w:val="ru"/>
        </w:rPr>
        <w:instrText xml:space="preserve"> HYPERLINK "tx.dll?d=33384&amp;a=3340" \l "a3340" \o "+" </w:instrText>
      </w:r>
      <w:r>
        <w:rPr>
          <w:lang w:val="ru"/>
        </w:rPr>
        <w:fldChar w:fldCharType="separate"/>
      </w:r>
      <w:r>
        <w:rPr>
          <w:rStyle w:val="5"/>
          <w:lang w:val="ru"/>
        </w:rPr>
        <w:t>кодексом</w:t>
      </w:r>
      <w:r>
        <w:rPr>
          <w:lang w:val="ru"/>
        </w:rPr>
        <w:fldChar w:fldCharType="end"/>
      </w:r>
      <w:r>
        <w:rPr>
          <w:lang w:val="ru"/>
        </w:rPr>
        <w:t xml:space="preserve"> Республики Беларусь.</w:t>
      </w:r>
    </w:p>
    <w:p>
      <w:pPr>
        <w:pStyle w:val="27"/>
        <w:keepNext w:val="0"/>
        <w:keepLines w:val="0"/>
        <w:widowControl/>
        <w:suppressLineNumbers w:val="0"/>
      </w:pPr>
      <w:r>
        <w:rPr>
          <w:lang w:val="ru"/>
        </w:rPr>
        <w:t>13. Совету Министров Республики Беларусь разъяснять вопросы применения настоящего Декрета.</w:t>
      </w:r>
    </w:p>
    <w:p>
      <w:pPr>
        <w:pStyle w:val="27"/>
        <w:keepNext w:val="0"/>
        <w:keepLines w:val="0"/>
        <w:widowControl/>
        <w:suppressLineNumbers w:val="0"/>
      </w:pPr>
      <w:bookmarkStart w:id="65" w:name="a59"/>
      <w:bookmarkEnd w:id="65"/>
      <w:r>
        <w:rPr>
          <w:lang w:val="ru"/>
        </w:rPr>
        <w:t>14. Совету Министров Республики Беларусь, Национальному центру законодательства и правовых исследований, облисполкомам и Минскому горисполкому обеспечить приведение законодательства в соответствие с настоящим Декретом и принять иные меры по его реализации.</w:t>
      </w:r>
    </w:p>
    <w:p>
      <w:pPr>
        <w:pStyle w:val="27"/>
        <w:keepNext w:val="0"/>
        <w:keepLines w:val="0"/>
        <w:widowControl/>
        <w:suppressLineNumbers w:val="0"/>
      </w:pPr>
      <w:r>
        <w:rPr>
          <w:lang w:val="ru"/>
        </w:rPr>
        <w:t>15. Контроль за реализацией настоящего Декрета возложить на Комитет государственного контроля, Совет Министров Республики Беларусь, облисполкомы и Минский горисполком.</w:t>
      </w:r>
    </w:p>
    <w:p>
      <w:pPr>
        <w:pStyle w:val="27"/>
        <w:keepNext w:val="0"/>
        <w:keepLines w:val="0"/>
        <w:widowControl/>
        <w:suppressLineNumbers w:val="0"/>
      </w:pPr>
      <w:bookmarkStart w:id="66" w:name="a53"/>
      <w:bookmarkEnd w:id="66"/>
      <w:r>
        <w:rPr>
          <w:lang w:val="ru"/>
        </w:rPr>
        <w:t>16. Настоящий Декрет вступает в силу с 1 января 2015 г.</w:t>
      </w:r>
    </w:p>
    <w:p>
      <w:pPr>
        <w:pStyle w:val="32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45"/>
        <w:gridCol w:w="54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3"/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13"/>
                <w:bdr w:val="none" w:color="auto" w:sz="0" w:space="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/>
            <w:vAlign w:val="bottom"/>
          </w:tcPr>
          <w:p>
            <w:pPr>
              <w:pStyle w:val="33"/>
              <w:keepNext w:val="0"/>
              <w:keepLines w:val="0"/>
              <w:widowControl/>
              <w:suppressLineNumbers w:val="0"/>
              <w:jc w:val="right"/>
            </w:pPr>
            <w:r>
              <w:rPr>
                <w:rStyle w:val="21"/>
                <w:bdr w:val="none" w:color="auto" w:sz="0" w:space="0"/>
              </w:rPr>
              <w:t>А.Лукашенко</w:t>
            </w:r>
          </w:p>
        </w:tc>
      </w:tr>
    </w:tbl>
    <w:p>
      <w:pPr>
        <w:pStyle w:val="33"/>
        <w:keepNext w:val="0"/>
        <w:keepLines w:val="0"/>
        <w:widowControl/>
        <w:suppressLineNumbers w:val="0"/>
      </w:pPr>
      <w:r>
        <w:rPr>
          <w:lang w:val="ru"/>
        </w:rPr>
        <w:t> </w:t>
      </w:r>
    </w:p>
    <w:sectPr>
      <w:pgSz w:w="12240" w:h="15840"/>
      <w:pgMar w:top="720" w:right="720" w:bottom="720" w:left="7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3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6A4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TML Acronym"/>
    <w:basedOn w:val="2"/>
    <w:uiPriority w:val="0"/>
    <w:rPr>
      <w:color w:val="000000"/>
      <w:shd w:val="clear" w:fill="FFFF00"/>
    </w:rPr>
  </w:style>
  <w:style w:type="character" w:styleId="5">
    <w:name w:val="Hyperlink"/>
    <w:basedOn w:val="2"/>
    <w:uiPriority w:val="0"/>
    <w:rPr>
      <w:color w:val="0000FF"/>
      <w:u w:val="single"/>
    </w:rPr>
  </w:style>
  <w:style w:type="paragraph" w:styleId="6">
    <w:name w:val="Title"/>
    <w:qFormat/>
    <w:uiPriority w:val="0"/>
    <w:pPr>
      <w:keepNext w:val="0"/>
      <w:keepLines w:val="0"/>
      <w:widowControl/>
      <w:suppressLineNumbers w:val="0"/>
      <w:spacing w:before="360" w:beforeAutospacing="0" w:after="360" w:afterAutospacing="0"/>
      <w:ind w:left="0" w:right="2270" w:firstLine="0"/>
      <w:jc w:val="left"/>
    </w:pPr>
    <w:rPr>
      <w:rFonts w:eastAsia="Times New Roman"/>
      <w:b/>
      <w:bCs/>
      <w:kern w:val="0"/>
      <w:sz w:val="24"/>
      <w:szCs w:val="24"/>
      <w:lang w:val="en-US" w:eastAsia="zh-CN" w:bidi="ar"/>
    </w:rPr>
  </w:style>
  <w:style w:type="character" w:customStyle="1" w:styleId="7">
    <w:name w:val="number"/>
    <w:uiPriority w:val="0"/>
    <w:rPr>
      <w:rFonts w:hint="default" w:ascii="Times New Roman" w:hAnsi="Times New Roman" w:cs="Times New Roman"/>
      <w:i/>
      <w:iCs/>
    </w:rPr>
  </w:style>
  <w:style w:type="character" w:customStyle="1" w:styleId="8">
    <w:name w:val="bigsimbol"/>
    <w:uiPriority w:val="0"/>
    <w:rPr>
      <w:rFonts w:hint="default" w:ascii="Times New Roman" w:hAnsi="Times New Roman" w:cs="Times New Roman"/>
      <w:caps/>
    </w:rPr>
  </w:style>
  <w:style w:type="character" w:customStyle="1" w:styleId="9">
    <w:name w:val="name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10">
    <w:name w:val="onewind3"/>
    <w:uiPriority w:val="0"/>
    <w:rPr>
      <w:rFonts w:ascii="Wingdings 3" w:hAnsi="Wingdings 3" w:eastAsia="Wingdings 3" w:cs="Wingdings 3"/>
    </w:rPr>
  </w:style>
  <w:style w:type="character" w:customStyle="1" w:styleId="11">
    <w:name w:val="promulgator"/>
    <w:uiPriority w:val="0"/>
    <w:rPr>
      <w:rFonts w:hint="default" w:ascii="Times New Roman" w:hAnsi="Times New Roman" w:cs="Times New Roman"/>
      <w:b/>
      <w:bCs/>
      <w:caps/>
    </w:rPr>
  </w:style>
  <w:style w:type="character" w:customStyle="1" w:styleId="12">
    <w:name w:val="datepr"/>
    <w:uiPriority w:val="0"/>
    <w:rPr>
      <w:rFonts w:hint="default" w:ascii="Times New Roman" w:hAnsi="Times New Roman" w:cs="Times New Roman"/>
      <w:i/>
      <w:iCs/>
    </w:rPr>
  </w:style>
  <w:style w:type="character" w:customStyle="1" w:styleId="13">
    <w:name w:val="post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character" w:customStyle="1" w:styleId="14">
    <w:name w:val="datecity"/>
    <w:uiPriority w:val="0"/>
    <w:rPr>
      <w:rFonts w:hint="default" w:ascii="Times New Roman" w:hAnsi="Times New Roman" w:cs="Times New Roman"/>
      <w:i/>
      <w:iCs/>
      <w:sz w:val="24"/>
      <w:szCs w:val="24"/>
    </w:rPr>
  </w:style>
  <w:style w:type="character" w:customStyle="1" w:styleId="15">
    <w:name w:val="onesymbol"/>
    <w:uiPriority w:val="0"/>
    <w:rPr>
      <w:rFonts w:ascii="Symbol" w:hAnsi="Symbol" w:cs="Symbol"/>
    </w:rPr>
  </w:style>
  <w:style w:type="character" w:customStyle="1" w:styleId="16">
    <w:name w:val="datereg"/>
    <w:uiPriority w:val="0"/>
    <w:rPr>
      <w:rFonts w:hint="default" w:ascii="Times New Roman" w:hAnsi="Times New Roman" w:cs="Times New Roman"/>
    </w:rPr>
  </w:style>
  <w:style w:type="character" w:customStyle="1" w:styleId="17">
    <w:name w:val="razr"/>
    <w:uiPriority w:val="0"/>
    <w:rPr>
      <w:rFonts w:hint="default" w:ascii="Times New Roman" w:hAnsi="Times New Roman" w:cs="Times New Roman"/>
      <w:spacing w:val="20"/>
    </w:rPr>
  </w:style>
  <w:style w:type="character" w:customStyle="1" w:styleId="18">
    <w:name w:val="onewind2"/>
    <w:uiPriority w:val="0"/>
    <w:rPr>
      <w:rFonts w:ascii="Wingdings 2" w:hAnsi="Wingdings 2" w:eastAsia="Wingdings 2" w:cs="Wingdings 2"/>
    </w:rPr>
  </w:style>
  <w:style w:type="character" w:customStyle="1" w:styleId="19">
    <w:name w:val="rednoun"/>
    <w:uiPriority w:val="0"/>
  </w:style>
  <w:style w:type="character" w:customStyle="1" w:styleId="20">
    <w:name w:val="onewind"/>
    <w:uiPriority w:val="0"/>
    <w:rPr>
      <w:rFonts w:ascii="Wingdings" w:hAnsi="Wingdings" w:cs="Wingdings"/>
    </w:rPr>
  </w:style>
  <w:style w:type="character" w:customStyle="1" w:styleId="21">
    <w:name w:val="pers"/>
    <w:uiPriority w:val="0"/>
    <w:rPr>
      <w:rFonts w:hint="default" w:ascii="Times New Roman" w:hAnsi="Times New Roman" w:cs="Times New Roman"/>
      <w:b/>
      <w:bCs/>
      <w:i/>
      <w:iCs/>
      <w:sz w:val="22"/>
      <w:szCs w:val="22"/>
    </w:rPr>
  </w:style>
  <w:style w:type="paragraph" w:customStyle="1" w:styleId="22">
    <w:name w:val="snoski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0"/>
      <w:szCs w:val="20"/>
      <w:lang w:val="en-US" w:eastAsia="zh-CN" w:bidi="ar"/>
    </w:rPr>
  </w:style>
  <w:style w:type="paragraph" w:customStyle="1" w:styleId="23">
    <w:name w:val="snoskiline"/>
    <w:uiPriority w:val="0"/>
    <w:pPr>
      <w:spacing w:before="0" w:beforeAutospacing="0" w:after="0" w:afterAutospacing="0"/>
      <w:ind w:left="0" w:right="0" w:firstLine="0"/>
      <w:jc w:val="both"/>
    </w:pPr>
    <w:rPr>
      <w:rFonts w:hint="default" w:ascii="Times New Roman" w:hAnsi="Times New Roman" w:cs="Times New Roman"/>
      <w:kern w:val="0"/>
      <w:sz w:val="20"/>
      <w:szCs w:val="20"/>
      <w:lang w:val="en-US" w:eastAsia="zh-CN" w:bidi="ar"/>
    </w:rPr>
  </w:style>
  <w:style w:type="character" w:customStyle="1" w:styleId="24">
    <w:name w:val="arabic"/>
    <w:uiPriority w:val="0"/>
    <w:rPr>
      <w:rFonts w:hint="default" w:ascii="Times New Roman" w:hAnsi="Times New Roman" w:cs="Times New Roman"/>
    </w:rPr>
  </w:style>
  <w:style w:type="character" w:customStyle="1" w:styleId="25">
    <w:name w:val="articlec"/>
    <w:uiPriority w:val="0"/>
    <w:rPr>
      <w:rFonts w:hint="default" w:ascii="Times New Roman" w:hAnsi="Times New Roman" w:cs="Times New Roman"/>
      <w:b/>
      <w:bCs/>
    </w:rPr>
  </w:style>
  <w:style w:type="character" w:customStyle="1" w:styleId="26">
    <w:name w:val="roman"/>
    <w:uiPriority w:val="0"/>
    <w:rPr>
      <w:rFonts w:ascii="Arial" w:hAnsi="Arial" w:cs="Arial"/>
    </w:rPr>
  </w:style>
  <w:style w:type="paragraph" w:customStyle="1" w:styleId="27">
    <w:name w:val="point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28">
    <w:name w:val="underpoint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29">
    <w:name w:val="preamble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0">
    <w:name w:val="changeadd"/>
    <w:uiPriority w:val="0"/>
    <w:pPr>
      <w:spacing w:before="0" w:beforeAutospacing="0" w:after="0" w:afterAutospacing="0"/>
      <w:ind w:left="1135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1">
    <w:name w:val="changei"/>
    <w:uiPriority w:val="0"/>
    <w:pPr>
      <w:spacing w:before="0" w:beforeAutospacing="0" w:after="0" w:afterAutospacing="0"/>
      <w:ind w:left="1020" w:right="0" w:firstLine="0"/>
      <w:jc w:val="left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2">
    <w:name w:val="newncpi"/>
    <w:uiPriority w:val="0"/>
    <w:pPr>
      <w:spacing w:before="160" w:beforeAutospacing="0" w:after="160" w:afterAutospacing="0"/>
      <w:ind w:left="0" w:right="0" w:firstLine="567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paragraph" w:customStyle="1" w:styleId="33">
    <w:name w:val="newncpi0"/>
    <w:uiPriority w:val="0"/>
    <w:pPr>
      <w:spacing w:before="160" w:beforeAutospacing="0" w:after="160" w:afterAutospacing="0"/>
      <w:ind w:left="0" w:right="0" w:firstLine="0"/>
      <w:jc w:val="both"/>
    </w:pPr>
    <w:rPr>
      <w:rFonts w:hint="default" w:ascii="Times New Roman" w:hAnsi="Times New Roman" w:cs="Times New Roman"/>
      <w:kern w:val="0"/>
      <w:sz w:val="24"/>
      <w:szCs w:val="24"/>
      <w:lang w:val="en-US" w:eastAsia="zh-CN" w:bidi="ar"/>
    </w:rPr>
  </w:style>
  <w:style w:type="table" w:customStyle="1" w:styleId="34">
    <w:name w:val="tablencpi"/>
    <w:uiPriority w:val="0"/>
    <w:tblPr>
      <w:tblCellMar>
        <w:top w:w="0" w:type="dxa"/>
        <w:left w:w="0" w:type="dxa"/>
        <w:bottom w:w="0" w:type="dxa"/>
        <w:right w:w="0" w:type="dxa"/>
      </w:tblCellMar>
    </w:tblPr>
    <w:tcPr>
      <w:tcMar>
        <w:top w:w="0" w:type="dxa"/>
        <w:left w:w="0" w:type="dxa"/>
        <w:bottom w:w="0" w:type="dxa"/>
        <w:right w:w="0" w:type="dxa"/>
      </w:tcMar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0</TotalTime>
  <ScaleCrop>false</ScaleCrop>
  <LinksUpToDate>false</LinksUpToDate>
  <Application>WPS Office_12.2.0.16731_F1E327BC-269C-435d-A152-05C5408002CA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2024-04-25T12:38:13Z</dcterms:created>
  <dc:creator>kukharenkoen</dc:creator>
  <cp:lastModifiedBy>oblgaz0010</cp:lastModifiedBy>
  <dcterms:modified xsi:type="dcterms:W3CDTF">2024-04-25T12:38:41Z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901097B9E1704FA9820CFD0C9198CA7F_13</vt:lpwstr>
  </property>
</Properties>
</file>